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E5" w:rsidRDefault="004F1F64" w:rsidP="004F1F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Изменения -м</w:t>
      </w:r>
      <w:r w:rsidR="0013016B" w:rsidRPr="002E67E5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атематика</w:t>
      </w:r>
      <w:r w:rsidR="002E67E5" w:rsidRPr="002E67E5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</w:t>
      </w:r>
      <w:proofErr w:type="gramStart"/>
      <w:r w:rsidR="002E67E5" w:rsidRPr="002E67E5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ЕГЭ </w:t>
      </w:r>
      <w:r w:rsidR="00345F38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2016</w:t>
      </w:r>
      <w:proofErr w:type="gramEnd"/>
    </w:p>
    <w:p w:rsidR="002E67E5" w:rsidRDefault="0013016B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2E67E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Структура и содержание экзаменационной работы не изменились. Скорректирована система оценивания заданий 22, 23, 25, 26 (максимальный балл за выполнение каждого из них – 2). Максимальный первичный балл за выполнение всей работы снижен с </w:t>
      </w:r>
      <w:r w:rsidRPr="002E67E5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38 до 32</w:t>
      </w:r>
      <w:r w:rsidRPr="002E67E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4F1F64" w:rsidRDefault="004F1F64" w:rsidP="002E67E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E67E5" w:rsidRDefault="002E67E5" w:rsidP="004F1F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b/>
          <w:color w:val="000000"/>
          <w:sz w:val="28"/>
          <w:szCs w:val="28"/>
        </w:rPr>
        <w:t>В 2015-2016 учебном году в преподавании математики обращаем внимание</w:t>
      </w:r>
      <w:r w:rsidR="009B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b/>
          <w:color w:val="000000"/>
          <w:sz w:val="28"/>
          <w:szCs w:val="28"/>
        </w:rPr>
        <w:t>на следующие особенности</w:t>
      </w:r>
      <w:r w:rsidRPr="002E67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32C0" w:rsidRPr="009B32C0" w:rsidRDefault="002E67E5" w:rsidP="009B32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ЕГЭ базового уровня по математике актуальным остается традиционное требование – формирование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устойчивых навыков: счета </w:t>
      </w:r>
      <w:r w:rsidRPr="00345F38">
        <w:rPr>
          <w:rFonts w:ascii="Times New Roman" w:hAnsi="Times New Roman" w:cs="Times New Roman"/>
          <w:i/>
          <w:color w:val="000000"/>
          <w:sz w:val="28"/>
          <w:szCs w:val="28"/>
        </w:rPr>
        <w:t>(алго</w:t>
      </w:r>
      <w:r w:rsidRPr="00345F38">
        <w:rPr>
          <w:rFonts w:ascii="Times New Roman" w:hAnsi="Times New Roman" w:cs="Times New Roman"/>
          <w:i/>
          <w:color w:val="000000"/>
          <w:sz w:val="28"/>
          <w:szCs w:val="28"/>
        </w:rPr>
        <w:t>ритмов «счета в столбик», рациональных прие</w:t>
      </w:r>
      <w:r w:rsidRPr="00345F38">
        <w:rPr>
          <w:rFonts w:ascii="Times New Roman" w:hAnsi="Times New Roman" w:cs="Times New Roman"/>
          <w:i/>
          <w:color w:val="000000"/>
          <w:sz w:val="28"/>
          <w:szCs w:val="28"/>
        </w:rPr>
        <w:t>мов),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тождественных преобразова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ний буквенных выражений, решение элемента</w:t>
      </w:r>
      <w:r w:rsidR="009B32C0" w:rsidRPr="009B32C0">
        <w:rPr>
          <w:rFonts w:ascii="Times New Roman" w:hAnsi="Times New Roman" w:cs="Times New Roman"/>
          <w:color w:val="000000"/>
          <w:sz w:val="28"/>
          <w:szCs w:val="28"/>
        </w:rPr>
        <w:t>рных уравнений; умений математи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ческого моделирования типовых текстовых задач:</w:t>
      </w:r>
      <w:r w:rsidR="009B32C0"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на округление с избытком, с не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достатком, нахождения процента от числа и числа по его процентам. Обращаем внимание на основной список тем по геометрии,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подлежащий кон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тролю в конце 9 класса на уроках планиметрии: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2C0" w:rsidRPr="004F1F64" w:rsidRDefault="009B32C0" w:rsidP="009B32C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Виды треугольников. Замечательные лини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и и точки в треугольнике (медиа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на, средняя линия, высота, биссектриса, серединный 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перпендикуляр к сторо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не).</w:t>
      </w:r>
    </w:p>
    <w:p w:rsidR="009B32C0" w:rsidRPr="004F1F64" w:rsidRDefault="009B32C0" w:rsidP="009B32C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1F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Вписанная и описанная окружности.</w:t>
      </w:r>
    </w:p>
    <w:p w:rsidR="009B32C0" w:rsidRPr="004F1F64" w:rsidRDefault="009B32C0" w:rsidP="009B32C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1F6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Тригонометрические функции острого угла прямоугольного треугольника.</w:t>
      </w:r>
    </w:p>
    <w:p w:rsidR="009B32C0" w:rsidRPr="004F1F64" w:rsidRDefault="009B32C0" w:rsidP="009B32C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1F6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Теорема Пифагора. </w:t>
      </w:r>
    </w:p>
    <w:p w:rsidR="009B32C0" w:rsidRPr="004F1F64" w:rsidRDefault="009B32C0" w:rsidP="009B32C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1F6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Теоремы синусов и косинусов.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Виды четырехугольников. </w:t>
      </w:r>
    </w:p>
    <w:p w:rsidR="009B32C0" w:rsidRPr="004F1F64" w:rsidRDefault="009B32C0" w:rsidP="009B32C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1F6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Свойства и 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признаки параллелограмма, прямо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угольника, ромба, квадрата, трапеции.</w:t>
      </w:r>
    </w:p>
    <w:p w:rsidR="009B32C0" w:rsidRPr="004F1F64" w:rsidRDefault="009B32C0" w:rsidP="009B32C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1F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Формулы площадей плоских фигур.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67E5" w:rsidRPr="004F1F64">
        <w:rPr>
          <w:rFonts w:ascii="Times New Roman" w:hAnsi="Times New Roman" w:cs="Times New Roman"/>
          <w:i/>
          <w:color w:val="000000"/>
          <w:sz w:val="28"/>
          <w:szCs w:val="28"/>
        </w:rPr>
        <w:t>Координатный и векторный методы решения задач.</w:t>
      </w:r>
    </w:p>
    <w:p w:rsidR="002E67E5" w:rsidRDefault="002E67E5" w:rsidP="002E67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>Прежде всего, незнание фундаментальных метрических формул, а также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свойств основных планиметрических фигур п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олностью лишает учащихся возмож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ности применять свои знания по планиметрии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соответствующих зад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ач на ОГЭ и ЕГЭ.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Для учащихся, собирающихся продолжить обучение в старшей школе, важно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 геометрии как о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б аксиоматической науке. Это по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зволит им получить целостное представление о математике и иметь предпосылки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для успешного решения задач высокого уровня сложности ЕГЭ, включающих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пункты на доказательство.</w:t>
      </w:r>
    </w:p>
    <w:p w:rsidR="00AD57E7" w:rsidRPr="009B32C0" w:rsidRDefault="00AD57E7" w:rsidP="004F1F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 по изучению наиболее сложных вопросов математики (на</w:t>
      </w:r>
      <w:r w:rsidRPr="009B3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основе анализа ОГЭ и ЕГЭ).</w:t>
      </w:r>
    </w:p>
    <w:p w:rsidR="009B32C0" w:rsidRDefault="00AD57E7" w:rsidP="002E67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>Полное представление об усвоении выпускниками средней (полной) школы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</w:t>
      </w:r>
      <w:r w:rsidRPr="009B3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разделов математики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как на базовом, так и на повышенном уровнях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сложности позволяет сделать анализ выполнения экзаменационной работы по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ЕГЭ.</w:t>
      </w:r>
    </w:p>
    <w:p w:rsidR="007939BF" w:rsidRDefault="00AD57E7" w:rsidP="002E67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>По результатам единого государственного экзамена (ЕГЭ) по математике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был выявлен ряд проблем, связанных с решением заданий повышенного уровня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сложности с развернутым ответом. Традиционно к решению заданий № 15 - № 21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приступают около 60% участников экзамена, и 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>здесь можно говорить о характер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ных ошибках в решении: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в задании № 15 - неверное применение формул приведения, а также на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отбор корней при решении тригонометрических уравнений;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структурные изменения в задании № 16 (в это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>м году участникам экза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мена необходимо было ответить на 2 вопроса: доказать утверждение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и вычислить значение элемента) понесли за собой ряд 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>ошибок, свя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занных с обоснованностью доказательства утверждений;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при решении задания № 17 существенные затруднения в работе со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знаменателем при решении показательного неравенства;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многие участники экзамена приступали к решению наиболее сложной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задачи № 21, однако отсутствовали обоснования при приведении того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или иного примера;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при решении остальных заданий с развернутым ответом типичных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ошибок выявлено не было в связи с высокой индивидуальностью их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решения.</w:t>
      </w:r>
      <w:r w:rsid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39BF" w:rsidRDefault="00AD57E7" w:rsidP="002E67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>Итоги ЕГЭ по математике позволяют высказать некоторые общие рекомендации, направленные на совершенствование пр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оцесса преподавания математики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и подготовку выпускников старшей школы к экзамену в 2016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7939BF" w:rsidRDefault="00AD57E7" w:rsidP="002E67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обратить на решение 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тригонометрических уравнений по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вышенного уровня сложности, подчеркивая важность корректного отбора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корней данного уравнения. Необходимо использовать различные способы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отбора, а также графическую иллюстрацию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интервала или отрезка, на кото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ром необходимо отобрать корни.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по составлени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ю корректно обоснованных доказа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тельств в геометрических заданиях.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Продолжить работу над решением показател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ьных и логарифмических нера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венств повышенного уровня сложности, а также обратить особое внимание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на работу со знаменателем.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Усилить работу по повышению уровня вычислительных навыков учащихся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(например, с помощью устной работы на уроках: применение арифме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тиче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ских законов действий при работе с раци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ональными числами, свойства сте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пеней, корней, математических диктантов и др.), что позволит им успешно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выполнить задания, избежав досадных о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шибок, применяя рациональные ме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тоды вычислений.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Организация уроков обобщающего повто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рения по алгебре и начал матема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тического анализа,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геометрии позволит обобщить знания, полученные за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курс старшей школы.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Анализ демонстрационного варианта ЕГЭ 2016 года по математике позволит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учителям и учащимся иметь представление об уро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вне трудности и типах за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даний предстоящей экзаменационной работы.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Использование материалов открытого банка заданий, опубликованных на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официальном сайте ФИПИ, даст возможно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сть готовиться качественно к эк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замену и на уроках с помощью учителя, и самостояте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льно дома каждому вы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пускнику.</w:t>
      </w:r>
    </w:p>
    <w:p w:rsidR="007939BF" w:rsidRDefault="00AD57E7" w:rsidP="002E67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>По результатам основного государственного экзамена (ОГЭ) по математике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отмечаем, что учащиеся не всегда могут применить изученный учебный материал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в ситуации, которая даже незначительно отличается от стандартной (например,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анализ числовых данных, представленных в таблице, практическая задача по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геометрии). У многих учащихся отсутствуют н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авыки самоконтроля, что зачастую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приводит к появлению ответов, невероятных в рамках условия решаемой ими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задачи (задачи с практическим содержанием). Отмечаем также снова серьёзные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недостатки вычислительной культуры учащихся. На недостаточном уровне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усвоено учащимися содержание важных разделов курса математики основной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школы – «Проценты», «Подобие фигур», «Преобразование алгебраических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выражений», «Вписанные углы», «Трапеция».</w:t>
      </w:r>
    </w:p>
    <w:p w:rsidR="007939BF" w:rsidRDefault="007939BF" w:rsidP="002E67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7E7" w:rsidRPr="009B32C0">
        <w:rPr>
          <w:rFonts w:ascii="Times New Roman" w:hAnsi="Times New Roman" w:cs="Times New Roman"/>
          <w:color w:val="000000"/>
          <w:sz w:val="28"/>
          <w:szCs w:val="28"/>
        </w:rPr>
        <w:t>Итоги ОГЭ по математике позволяют вы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сказать некоторые общие рекомен</w:t>
      </w:r>
      <w:r w:rsidR="00AD57E7" w:rsidRPr="009B32C0">
        <w:rPr>
          <w:rFonts w:ascii="Times New Roman" w:hAnsi="Times New Roman" w:cs="Times New Roman"/>
          <w:color w:val="000000"/>
          <w:sz w:val="28"/>
          <w:szCs w:val="28"/>
        </w:rPr>
        <w:t>дации, направленные на совершенствование процесса преподавания математики и подготовку выпускников основной школы к экзамену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7E7" w:rsidRPr="009B32C0">
        <w:rPr>
          <w:rFonts w:ascii="Times New Roman" w:hAnsi="Times New Roman" w:cs="Times New Roman"/>
          <w:color w:val="000000"/>
          <w:sz w:val="28"/>
          <w:szCs w:val="28"/>
        </w:rPr>
        <w:t>2016 году.</w:t>
      </w:r>
    </w:p>
    <w:p w:rsidR="00AD57E7" w:rsidRPr="002E67E5" w:rsidRDefault="00AD57E7" w:rsidP="002E67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2C0">
        <w:rPr>
          <w:rFonts w:ascii="Times New Roman" w:hAnsi="Times New Roman" w:cs="Times New Roman"/>
          <w:color w:val="000000"/>
          <w:sz w:val="28"/>
          <w:szCs w:val="28"/>
        </w:rPr>
        <w:t>Продолжение внедрения в практику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личностно-ориентированного под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хода в обучении позволит усилить внимание к формированию базовых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умений у тех учащихся, кто не ориентирован на более глубокое изучение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математики, а также обеспечить продвижение учащихся, имеющих возможность и желание усваивать математику на более высоком уровне.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Организация уроков обобщающего повторения по алгебре и геометрии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позволит обобщить знания, полученные за курс основной школы.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Обратить особое внимания на преподавание геометрии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, так как итоги эк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замена 2015 года по математике пока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зывают недостаточно высокий уро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вень выполнения учащимися геометри</w:t>
      </w:r>
      <w:r w:rsidR="007939BF">
        <w:rPr>
          <w:rFonts w:ascii="Times New Roman" w:hAnsi="Times New Roman" w:cs="Times New Roman"/>
          <w:color w:val="000000"/>
          <w:sz w:val="28"/>
          <w:szCs w:val="28"/>
        </w:rPr>
        <w:t>ческих задач, особенно практико-</w:t>
      </w:r>
      <w:r w:rsidRPr="009B32C0">
        <w:rPr>
          <w:rFonts w:ascii="Times New Roman" w:hAnsi="Times New Roman" w:cs="Times New Roman"/>
          <w:color w:val="000000"/>
          <w:sz w:val="28"/>
          <w:szCs w:val="28"/>
        </w:rPr>
        <w:t>ориентированных.</w:t>
      </w:r>
      <w:r w:rsidR="004F1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D57E7" w:rsidRPr="002E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E78CB"/>
    <w:multiLevelType w:val="hybridMultilevel"/>
    <w:tmpl w:val="D3B42E06"/>
    <w:lvl w:ilvl="0" w:tplc="81F2C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B8"/>
    <w:rsid w:val="0013016B"/>
    <w:rsid w:val="001A6291"/>
    <w:rsid w:val="002E67E5"/>
    <w:rsid w:val="00345F38"/>
    <w:rsid w:val="004F1F64"/>
    <w:rsid w:val="005C3A4B"/>
    <w:rsid w:val="007939BF"/>
    <w:rsid w:val="00794AB8"/>
    <w:rsid w:val="009B32C0"/>
    <w:rsid w:val="00A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222F8-2C44-469B-BD91-BCD02EAC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Бурнаев Ярослав Александрович</cp:lastModifiedBy>
  <cp:revision>4</cp:revision>
  <dcterms:created xsi:type="dcterms:W3CDTF">2015-11-02T03:30:00Z</dcterms:created>
  <dcterms:modified xsi:type="dcterms:W3CDTF">2015-11-02T07:12:00Z</dcterms:modified>
</cp:coreProperties>
</file>